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20" w:rsidRPr="000061CF" w:rsidRDefault="00D17220" w:rsidP="00D17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eastAsia="TimesNewRoman,Italic" w:hAnsi="Times New Roman" w:cs="Times New Roman"/>
          <w:i w:val="0"/>
          <w:sz w:val="28"/>
          <w:szCs w:val="28"/>
          <w:lang w:val="kk-KZ"/>
        </w:rPr>
      </w:pPr>
    </w:p>
    <w:p w:rsidR="00D17220" w:rsidRPr="000061CF" w:rsidRDefault="00D17220" w:rsidP="00D17220">
      <w:pPr>
        <w:pBdr>
          <w:bottom w:val="single" w:sz="6" w:space="6" w:color="DDDDDD"/>
        </w:pBdr>
        <w:shd w:val="clear" w:color="auto" w:fill="FFFFFF"/>
        <w:spacing w:after="0" w:line="240" w:lineRule="auto"/>
        <w:ind w:left="85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lang w:val="kk-KZ" w:eastAsia="ru-RU"/>
        </w:rPr>
        <w:t xml:space="preserve">5. </w:t>
      </w:r>
      <w:r w:rsidRPr="000061CF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bdr w:val="none" w:sz="0" w:space="0" w:color="auto" w:frame="1"/>
          <w:lang w:val="kk-KZ" w:eastAsia="ru-RU"/>
        </w:rPr>
        <w:fldChar w:fldCharType="begin"/>
      </w:r>
      <w:r w:rsidRPr="000061CF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bdr w:val="none" w:sz="0" w:space="0" w:color="auto" w:frame="1"/>
          <w:lang w:val="kk-KZ" w:eastAsia="ru-RU"/>
        </w:rPr>
        <w:instrText xml:space="preserve"> HYPERLINK "http://edq.kz/2017/07/06/%d0%b1%d0%b0%d0%b9%d1%8b%d1%80%d2%93%d1%8b-%d2%9b%d1%8b%d0%bf%d1%88%d0%b0%d2%9b-%d1%81%d0%b0%d0%bd%d0%b0%d1%80-%d1%82%d0%b0%d2%9b%d1%82%d0%b0%d1%81%d1%8b%d0%bd%d0%b0%d0%bd-%d0%b1%d2%af%d0%b3%d1%96-2/" </w:instrText>
      </w:r>
      <w:r w:rsidRPr="000061CF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bdr w:val="none" w:sz="0" w:space="0" w:color="auto" w:frame="1"/>
          <w:lang w:val="kk-KZ" w:eastAsia="ru-RU"/>
        </w:rPr>
        <w:fldChar w:fldCharType="separate"/>
      </w:r>
      <w:r w:rsidRPr="000061CF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bdr w:val="none" w:sz="0" w:space="0" w:color="auto" w:frame="1"/>
          <w:lang w:val="kk-KZ" w:eastAsia="ru-RU"/>
        </w:rPr>
        <w:t>БАЙЫРҒЫ ҚЫПШАҚ САНАР ТАҚТАСЫНАН БҮГІНГІ ТЕЛЕВИДЕНИЕГЕ ДЕЙІН  </w:t>
      </w:r>
      <w:r w:rsidRPr="000061CF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bdr w:val="none" w:sz="0" w:space="0" w:color="auto" w:frame="1"/>
          <w:lang w:val="kk-KZ" w:eastAsia="ru-RU"/>
        </w:rPr>
        <w:fldChar w:fldCharType="end"/>
      </w:r>
    </w:p>
    <w:p w:rsidR="00D17220" w:rsidRPr="000061CF" w:rsidRDefault="00D17220" w:rsidP="00D17220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bdr w:val="none" w:sz="0" w:space="0" w:color="auto" w:frame="1"/>
          <w:lang w:val="kk-KZ" w:eastAsia="ru-RU"/>
        </w:rPr>
        <w:t> Posted on </w:t>
      </w:r>
      <w:r w:rsidRPr="000061CF">
        <w:rPr>
          <w:rFonts w:ascii="Times New Roman" w:eastAsia="Times New Roman" w:hAnsi="Times New Roman" w:cs="Times New Roman"/>
          <w:color w:val="C9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0061CF">
        <w:rPr>
          <w:rFonts w:ascii="Times New Roman" w:eastAsia="Times New Roman" w:hAnsi="Times New Roman" w:cs="Times New Roman"/>
          <w:color w:val="C90000"/>
          <w:sz w:val="28"/>
          <w:szCs w:val="28"/>
          <w:bdr w:val="none" w:sz="0" w:space="0" w:color="auto" w:frame="1"/>
          <w:lang w:val="kk-KZ" w:eastAsia="ru-RU"/>
        </w:rPr>
        <w:instrText xml:space="preserve"> HYPERLINK "http://edq.kz/2017/07/06/%d0%b1%d0%b0%d0%b9%d1%8b%d1%80%d2%93%d1%8b-%d2%9b%d1%8b%d0%bf%d1%88%d0%b0%d2%9b-%d1%81%d0%b0%d0%bd%d0%b0%d1%80-%d1%82%d0%b0%d2%9b%d1%82%d0%b0%d1%81%d1%8b%d0%bd%d0%b0%d0%bd-%d0%b1%d2%af%d0%b3%d1%96-2/" </w:instrText>
      </w:r>
      <w:r w:rsidRPr="000061CF">
        <w:rPr>
          <w:rFonts w:ascii="Times New Roman" w:eastAsia="Times New Roman" w:hAnsi="Times New Roman" w:cs="Times New Roman"/>
          <w:color w:val="C9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0061CF">
        <w:rPr>
          <w:rFonts w:ascii="Times New Roman" w:eastAsia="Times New Roman" w:hAnsi="Times New Roman" w:cs="Times New Roman"/>
          <w:color w:val="C90000"/>
          <w:sz w:val="28"/>
          <w:szCs w:val="28"/>
          <w:bdr w:val="none" w:sz="0" w:space="0" w:color="auto" w:frame="1"/>
          <w:lang w:val="kk-KZ" w:eastAsia="ru-RU"/>
        </w:rPr>
        <w:t>Июль 6, 2017</w:t>
      </w:r>
      <w:r w:rsidRPr="000061CF">
        <w:rPr>
          <w:rFonts w:ascii="Times New Roman" w:eastAsia="Times New Roman" w:hAnsi="Times New Roman" w:cs="Times New Roman"/>
          <w:color w:val="C9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bdr w:val="none" w:sz="0" w:space="0" w:color="auto" w:frame="1"/>
          <w:lang w:val="kk-KZ" w:eastAsia="ru-RU"/>
        </w:rPr>
        <w:t>  </w:t>
      </w:r>
    </w:p>
    <w:p w:rsidR="00D17220" w:rsidRPr="000061CF" w:rsidRDefault="00D17220" w:rsidP="00D17220">
      <w:p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b/>
          <w:bCs/>
          <w:i/>
          <w:iCs/>
          <w:color w:val="161514"/>
          <w:sz w:val="28"/>
          <w:szCs w:val="28"/>
          <w:bdr w:val="none" w:sz="0" w:space="0" w:color="auto" w:frame="1"/>
          <w:lang w:val="kk-KZ" w:eastAsia="ru-RU"/>
        </w:rPr>
        <w:t> </w:t>
      </w:r>
      <w:r w:rsidRPr="000061CF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bdr w:val="none" w:sz="0" w:space="0" w:color="auto" w:frame="1"/>
          <w:lang w:val="kk-KZ" w:eastAsia="ru-RU"/>
        </w:rPr>
        <w:t> (Алматы)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  <w:t>Әмір МОЛДАБЕКОВ,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  <w:t>Халықаралық ЮНЕСКО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  <w:t>сыйлығының иегері, ұстаз</w:t>
      </w:r>
    </w:p>
    <w:p w:rsidR="00D17220" w:rsidRPr="000061CF" w:rsidRDefault="00D17220" w:rsidP="00D17220">
      <w:p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D17220" w:rsidRPr="000061CF" w:rsidRDefault="00D17220" w:rsidP="00D17220">
      <w:p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kk-KZ" w:eastAsia="ru-RU"/>
        </w:rPr>
      </w:pPr>
      <w:r w:rsidRPr="000061CF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bdr w:val="none" w:sz="0" w:space="0" w:color="auto" w:frame="1"/>
          <w:lang w:val="kk-KZ" w:eastAsia="ru-RU"/>
        </w:rPr>
        <w:t>БАЙЫРҒЫ ҚЫПШАҚ САНАР ТАҚТАСЫНАН</w:t>
      </w:r>
      <w:r w:rsidRPr="000061CF">
        <w:rPr>
          <w:rFonts w:ascii="Times New Roman" w:eastAsia="Times New Roman" w:hAnsi="Times New Roman" w:cs="Times New Roman"/>
          <w:b/>
          <w:bCs/>
          <w:noProof/>
          <w:color w:val="C9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9C7D5B2" wp14:editId="425DE089">
            <wp:extent cx="2856230" cy="2142490"/>
            <wp:effectExtent l="0" t="0" r="1270" b="0"/>
            <wp:docPr id="2" name="Рисунок 2" descr="https://i2.wp.com/edq.kz/wp-content/uploads/2016/03/amir-20.jpg?resize=300%2C22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edq.kz/wp-content/uploads/2016/03/amir-20.jpg?resize=300%2C22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20" w:rsidRPr="000061CF" w:rsidRDefault="00D17220" w:rsidP="00D17220">
      <w:p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0061CF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bdr w:val="none" w:sz="0" w:space="0" w:color="auto" w:frame="1"/>
          <w:lang w:eastAsia="ru-RU"/>
        </w:rPr>
        <w:t>БҮГІНГІ ТЕЛЕВИДЕНИЕГЕ ДЕЙІН</w:t>
      </w:r>
    </w:p>
    <w:p w:rsidR="00D17220" w:rsidRPr="000061CF" w:rsidRDefault="00D17220" w:rsidP="00D17220">
      <w:p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0061CF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bdr w:val="none" w:sz="0" w:space="0" w:color="auto" w:frame="1"/>
          <w:lang w:eastAsia="ru-RU"/>
        </w:rPr>
        <w:t> 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отаны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Шығыс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Біздің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дәуірге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дейінгі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VII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ғасырды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өзінде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сақтар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ежелгі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түрк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тілін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білген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олардың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санау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үлгілері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де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ұқсас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Ертіс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жағасынан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табылған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темір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дәуірінде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сүйекке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жазылған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түрк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таңбалары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дәлел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Тым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әріге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бармай-ақ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бергі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орта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ғасыр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заманына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келсек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те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ауыз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толтырып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айтар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айғақтар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жетерлік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Мәселен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Һарон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Рашид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Бағдатта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Даналық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үйін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қазіргіше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айтқанда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ғалымдар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үйін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салдырды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Бағдат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көгілдірі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мен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Даналық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үйін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ауыртпалығын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Орта Азия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Қазақстан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көтерді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Олардың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сапында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</w:t>
      </w:r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Хорезми,әл</w:t>
      </w:r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-Ферғани,әл-Жауһари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әл-Мервази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кейінірек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әл-Фараби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осы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тұста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қыпшақтардан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шыққан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жараты</w:t>
      </w:r>
      <w:bookmarkStart w:id="0" w:name="_GoBack"/>
      <w:bookmarkEnd w:id="0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лыстану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математика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ғылымдары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мәселеріне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қалам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тартқан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бірсыпыра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оқымыстыларды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кездестіруге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Олар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өздерінің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ұлы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ұстаздары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</w:t>
      </w:r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Фараби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 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басқа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да  Орта Азия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сияқты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ғылыми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 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риссаларын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трактаттарын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араб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тілінде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Солардың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көрнектілерінің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бірі-байлау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байлағ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Әл-Қыпшақи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1242-1282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жылдары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Каирда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Бахри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сұлтандары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сарайында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қызмет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еткен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Үлкен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минералог-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Байлау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әл-Қыпшақи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</w:t>
      </w:r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«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Асыл</w:t>
      </w:r>
      <w:proofErr w:type="spellEnd"/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тастардың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қасиеттері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туралы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трактат»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аталатын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еңбектің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авторы 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шығармасын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1279-1290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жылдары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билік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құрған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Бахри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қыпшақ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сұлтаны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Мәнсұр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Сайфаддинге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бағыштайды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зерттеуден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гректерден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Аристотель, Гермес,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>Апплоний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Птолемей, ал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мұсылман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ғұламаларынан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әл-Фараби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-Бируни,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әл-Масуди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әл-Ғазали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еңбектерімен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таныс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болғаны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ілінеді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Байлау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әл-Қыпшақи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минералдардың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магниттік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қасиеттеріне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де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зер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Сонымен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білгір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теңізде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тура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табу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мақсатында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пайдаланылатын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компастың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теориялық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практикалық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мәселелерін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зерттеген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Компас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жөніндегі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теориялық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нұсқаулардың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дұрыстығын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сынап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көру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үшін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1242-1243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жылдары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Жер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Орта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теңізінде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жүзу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сапарына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қатысты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дерек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те бар.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Екінші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ортағасырлық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қыпшақ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оқымыстысының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аты-жөні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Мұхаммед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Әтиф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әл-Қыпшақи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әл-Қабужақи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Байлау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әл-Қыпшақимен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замандас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«Геометрия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ғылымына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кіріспе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атты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трактаттың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авторы. Араб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тілінде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жазылған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шығарманың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қолжазбасы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АҚШ-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Нью-Джерси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штатынджағы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Пристон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университетінің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кітапханасында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сақтаулы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Осы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орайда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айта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кететін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жәйт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кітапханада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Отырардан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шыққан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көрнекті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математик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астроном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Ғаббас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Жауһаридің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ІХ.ғ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)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Евклидің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бесінші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кітабына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толықтыру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атты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трактатының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қолжазбасы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да бар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көрінеді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Он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екінші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ғасырда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Орта Азия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Қазақстан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ғалымдарының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еңбектері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латын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тіліне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аударылып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сондай-ақ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математиканың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басқа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елдерге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мәселен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Европаға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ауысуы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қандастарымыздың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еңбектерін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саябырлата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бастады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әл-Фарабидің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әл-Жауһаридың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басқалардың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еңбектері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Әбу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ибн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Синаға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Омар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Хайямға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Насреддин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ат-Тусиге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әсерін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тигізді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Кейінгі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зерттеулер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бойынша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Италия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математигі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Леонардо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Пизанскийге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«Абак»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кітабын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жазуға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әл-Хорезмидің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поляк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ғалымы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Николай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Коперникке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(1473-1543)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гелиоцентрлік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жүйесін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ашуға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әл-Фарабидің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еңбектері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әсер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еткен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арқылы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Кеплер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заңдарын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ашқан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Дөңес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линзадан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сәулелер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өткенде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сынатындығын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оны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жерде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тоғысатындығын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әл-Фараби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тапқан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Сөйтіп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линза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айна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тоғысын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фокусын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табушы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Кеплер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емес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оны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табушы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әл-Фараби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Әл-Фараби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еңбектерінде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музыкалық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нотаның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орнына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цифрлі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жүйені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қолданған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осы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кезге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дейін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қытайда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пайдаланылып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келеді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Ертеде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Вавилондықтар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цифрді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пайдаланған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: 1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10.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Америкадағы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майя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халқы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үш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қолданған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: 0,1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5.</w:t>
      </w:r>
    </w:p>
    <w:p w:rsidR="00D17220" w:rsidRPr="000061CF" w:rsidRDefault="00D17220" w:rsidP="00D17220">
      <w:p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Ғылыми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сөздікте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сөз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бар.:</w:t>
      </w:r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«БИТ»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ағылшын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сөзі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binary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bigit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ЭВМ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компьютерде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қолдау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тапты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санау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жүйесінің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дамыған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шағына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дәлел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қыпшақ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жазба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ескерткіші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«Кодекс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Куманикус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 1303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жылдары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жазылған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туралы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профессор М.К.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Барманкулов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«Хан Иван»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кітабында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былай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: Уже в те времена у </w:t>
      </w: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>кыпчаков была счетная доска –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такта».</w:t>
      </w:r>
      <w:r w:rsidRPr="000061CF">
        <w:rPr>
          <w:rFonts w:ascii="Times New Roman" w:eastAsia="Times New Roman" w:hAnsi="Times New Roman" w:cs="Times New Roman"/>
          <w:b/>
          <w:bCs/>
          <w:noProof/>
          <w:color w:val="C9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67BBD90" wp14:editId="74241653">
            <wp:extent cx="2856230" cy="1950720"/>
            <wp:effectExtent l="0" t="0" r="1270" b="0"/>
            <wp:docPr id="3" name="Рисунок 3" descr="https://i0.wp.com/edq.kz/wp-content/uploads/2017/07/%D1%81%D0%B0%D0%BD%D0%B0%D1%80-%D1%82%D0%B0%D2%9B%D1%82%D0%B0.png?resize=300%2C20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edq.kz/wp-content/uploads/2017/07/%D1%81%D0%B0%D0%BD%D0%B0%D1%80-%D1%82%D0%B0%D2%9B%D1%82%D0%B0.png?resize=300%2C2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1CF">
        <w:rPr>
          <w:rFonts w:ascii="Times New Roman" w:eastAsia="Times New Roman" w:hAnsi="Times New Roman" w:cs="Times New Roman"/>
          <w:b/>
          <w:bCs/>
          <w:noProof/>
          <w:color w:val="C9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796644" wp14:editId="7754F8C5">
            <wp:extent cx="1854835" cy="2856230"/>
            <wp:effectExtent l="0" t="0" r="0" b="1270"/>
            <wp:docPr id="4" name="Рисунок 4" descr="https://i0.wp.com/edq.kz/wp-content/uploads/2017/06/01-015.jpg?resize=195%2C3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edq.kz/wp-content/uploads/2017/06/01-015.jpg?resize=195%2C3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Если «Кодекс» пропускать не только сквозь сито падежных окончаний и особенностей синтаксиса, то можно многое узнать и о культуре, быте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капчаков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1303 года. Уже в те времена употребляли иглу для пошива мешков –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чувалдуз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», мельница –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тегирмек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», расшитый тулуп –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сырма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тонум</w:t>
      </w:r>
      <w:proofErr w:type="spellEnd"/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» ,</w:t>
      </w:r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наперсток –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оймак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», лампа –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фанар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». Может, и этот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фонар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» пришел в другие языки из тюркского, а потом из них – снова в тюркский как чужеродный элемент?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Қыпшақ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тақтасына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есеп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шотына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жүгінсек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оңдап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та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санағандығына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дәлел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көбейту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әдісі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,</w:t>
      </w:r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саусақ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саусақ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жұдырық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).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ауыз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әдебиеті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үлгілерінен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де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ғылыми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мағыналы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көптеген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сипаттарды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табуға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қара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есептері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де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куәсі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ұлттық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психологиясының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көрсеткіші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—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түйіндеулерін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көпшіліктің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есіне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қалдыру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үшін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көбіне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 осы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жолды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таңдап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алған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Мысалы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Бойтұмарым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қымбатты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гүлім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алты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тармақты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Тұғыры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төрт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жапырақты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Алтайым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күн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шуақты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жыр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жолдарындағы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астарында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белгілі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мағына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бар.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Түрік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халықтарының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тіліндегі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сан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атауларының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бірдей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болып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келуі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де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олардың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есептеу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жүйесінің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ортақ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болғанын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дәлелдейді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tbl>
      <w:tblPr>
        <w:tblW w:w="111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3720"/>
        <w:gridCol w:w="3735"/>
      </w:tblGrid>
      <w:tr w:rsidR="00D17220" w:rsidRPr="000061CF" w:rsidTr="00E56FA9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Булгар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тіліToquz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Қараханид</w:t>
            </w:r>
            <w:proofErr w:type="spellEnd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ұйғыр</w:t>
            </w:r>
            <w:proofErr w:type="spellEnd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тіліТоқуз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Оғыз</w:t>
            </w:r>
            <w:proofErr w:type="spellEnd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тіліToqquz</w:t>
            </w:r>
            <w:proofErr w:type="spellEnd"/>
          </w:p>
        </w:tc>
      </w:tr>
      <w:tr w:rsidR="00D17220" w:rsidRPr="000061CF" w:rsidTr="00E56FA9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Шағатай</w:t>
            </w:r>
            <w:proofErr w:type="spellEnd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тіліToquz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Әзібайжан</w:t>
            </w:r>
            <w:proofErr w:type="spellEnd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тіліДоггуз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Ноғай</w:t>
            </w:r>
            <w:proofErr w:type="spellEnd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тіліТоғыз</w:t>
            </w:r>
            <w:proofErr w:type="spellEnd"/>
          </w:p>
        </w:tc>
      </w:tr>
      <w:tr w:rsidR="00D17220" w:rsidRPr="000061CF" w:rsidTr="00E56FA9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тіліТогус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тіліТоғыс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Башқұрт</w:t>
            </w:r>
            <w:proofErr w:type="spellEnd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тілітуғыз</w:t>
            </w:r>
            <w:proofErr w:type="spellEnd"/>
          </w:p>
        </w:tc>
      </w:tr>
      <w:tr w:rsidR="00D17220" w:rsidRPr="000061CF" w:rsidTr="00E56FA9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Гагауз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тіліДокуз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Якут </w:t>
            </w:r>
            <w:proofErr w:type="spellStart"/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тілітоғус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Тоғызға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көбейту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ережесін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кбейту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ережесі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дейді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тоғызға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көбейту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үшін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мысалы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5-ті 9-ға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көбейту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үшін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алақанды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жайып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қолдан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бесінші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саусақты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бүксек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бүгілген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саусақтың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жағыда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тұрған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саусақ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қырықты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ал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жағындағы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саусақтар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бірлікті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көрсетеді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Сонда 45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дегенді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оқимыз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Қол-аяқ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көбейту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аяқ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 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есе</w:t>
      </w:r>
      <w:proofErr w:type="spellEnd"/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20</w:t>
      </w:r>
      <w:r w:rsidRPr="000061CF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bdr w:val="none" w:sz="0" w:space="0" w:color="auto" w:frame="1"/>
          <w:lang w:eastAsia="ru-RU"/>
        </w:rPr>
        <w:t>20</w:t>
      </w: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5=2000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Қыр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қоспа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40+15=55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Ағылшын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лорды философ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Ф.Бэкон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шифр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ұсынған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Мысалы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«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Егеменді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Қазақстан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»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сөзді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айналдырайық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tbl>
      <w:tblPr>
        <w:tblW w:w="111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257"/>
        <w:gridCol w:w="1296"/>
        <w:gridCol w:w="1207"/>
        <w:gridCol w:w="1250"/>
        <w:gridCol w:w="1207"/>
        <w:gridCol w:w="1207"/>
        <w:gridCol w:w="1289"/>
        <w:gridCol w:w="1272"/>
      </w:tblGrid>
      <w:tr w:rsidR="00D17220" w:rsidRPr="000061CF" w:rsidTr="00E56FA9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7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001       010      011      100      101      110      111</w:t>
            </w:r>
          </w:p>
        </w:tc>
      </w:tr>
      <w:tr w:rsidR="00D17220" w:rsidRPr="000061CF" w:rsidTr="00E56FA9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D17220" w:rsidRPr="000061CF" w:rsidTr="00E56FA9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  <w:tr w:rsidR="00D17220" w:rsidRPr="000061CF" w:rsidTr="00E56FA9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D17220" w:rsidRPr="000061CF" w:rsidTr="00E56FA9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</w:t>
            </w:r>
          </w:p>
        </w:tc>
      </w:tr>
      <w:tr w:rsidR="00D17220" w:rsidRPr="000061CF" w:rsidTr="00E56FA9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17220" w:rsidRPr="000061CF" w:rsidRDefault="00D17220" w:rsidP="00E5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</w:t>
            </w:r>
          </w:p>
        </w:tc>
      </w:tr>
    </w:tbl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тілінде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былай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оқылады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: </w:t>
      </w:r>
      <w:proofErr w:type="gram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01110  11011</w:t>
      </w:r>
      <w:proofErr w:type="gram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  01110   11000   01110   10000   00111   12001   12110   01000   00001  01000   12110   01001    10000</w:t>
      </w:r>
    </w:p>
    <w:p w:rsidR="00D17220" w:rsidRPr="000061CF" w:rsidRDefault="00D17220" w:rsidP="00D17220">
      <w:pPr>
        <w:shd w:val="clear" w:color="auto" w:fill="FAF9F5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цифрдің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құдіреті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(0)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және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(1)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цифрлары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Осы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тәсілмен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сөзді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ұяға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енгізу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арқылы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келген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үлкен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хабарлар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лазерлік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дискілерге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жазуға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numPr>
          <w:ilvl w:val="0"/>
          <w:numId w:val="1"/>
        </w:num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(цифровое) телевидение;</w:t>
      </w:r>
    </w:p>
    <w:p w:rsidR="00D17220" w:rsidRPr="000061CF" w:rsidRDefault="00D17220" w:rsidP="00D17220">
      <w:pPr>
        <w:numPr>
          <w:ilvl w:val="0"/>
          <w:numId w:val="1"/>
        </w:num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байланыс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жүйесі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;</w:t>
      </w:r>
    </w:p>
    <w:p w:rsidR="00D17220" w:rsidRPr="000061CF" w:rsidRDefault="00D17220" w:rsidP="00D17220">
      <w:pPr>
        <w:numPr>
          <w:ilvl w:val="0"/>
          <w:numId w:val="1"/>
        </w:num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кабельді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телевидение;</w:t>
      </w:r>
    </w:p>
    <w:p w:rsidR="00D17220" w:rsidRPr="000061CF" w:rsidRDefault="00D17220" w:rsidP="00D17220">
      <w:pPr>
        <w:numPr>
          <w:ilvl w:val="0"/>
          <w:numId w:val="1"/>
        </w:num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(нота) музыка;</w:t>
      </w:r>
    </w:p>
    <w:p w:rsidR="00D17220" w:rsidRPr="000061CF" w:rsidRDefault="00D17220" w:rsidP="00D17220">
      <w:pPr>
        <w:numPr>
          <w:ilvl w:val="0"/>
          <w:numId w:val="1"/>
        </w:numPr>
        <w:shd w:val="clear" w:color="auto" w:fill="FAF9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телефон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жүйесі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D17220" w:rsidRPr="000061CF" w:rsidRDefault="00D17220" w:rsidP="00D17220">
      <w:pPr>
        <w:shd w:val="clear" w:color="auto" w:fill="FAF9F5"/>
        <w:spacing w:line="24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Осындай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сандар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коды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арқылы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30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томдық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БСЭ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Үлкен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Кеңес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Энциклопедиясы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бар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жоғы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3*10/8 бит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болады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информация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сыйған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ұя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сіпіңкенің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қорабындай-ақ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Бірден-бір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электронды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кітапхана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МЕДЛАЙ –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қорында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1966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жылдан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бері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5-млн.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Рефераттар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мен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мақалалар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бар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екен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Нью-Йорк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халқы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өз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үйлеріндегі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телевизордан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арнайы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қондырғы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арқылы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1976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>жылы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самолет,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поездердің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жүру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кестесін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дүкендегі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товарлар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бағасын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түрлі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информациялар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қабылдай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бастады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бұл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- телетекст (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телемәтін</w:t>
      </w:r>
      <w:proofErr w:type="spellEnd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proofErr w:type="spellStart"/>
      <w:r w:rsidRPr="000061C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еді</w:t>
      </w:r>
      <w:proofErr w:type="spellEnd"/>
    </w:p>
    <w:p w:rsidR="00D17220" w:rsidRPr="000061CF" w:rsidRDefault="00D17220" w:rsidP="00D17220">
      <w:pPr>
        <w:rPr>
          <w:rFonts w:ascii="Times New Roman" w:hAnsi="Times New Roman" w:cs="Times New Roman"/>
          <w:sz w:val="28"/>
          <w:szCs w:val="28"/>
        </w:rPr>
      </w:pPr>
    </w:p>
    <w:p w:rsidR="00726236" w:rsidRPr="000061CF" w:rsidRDefault="00726236">
      <w:pPr>
        <w:rPr>
          <w:rFonts w:ascii="Times New Roman" w:hAnsi="Times New Roman" w:cs="Times New Roman"/>
          <w:sz w:val="28"/>
          <w:szCs w:val="28"/>
        </w:rPr>
      </w:pPr>
    </w:p>
    <w:sectPr w:rsidR="00726236" w:rsidRPr="0000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3BD2"/>
    <w:multiLevelType w:val="multilevel"/>
    <w:tmpl w:val="4852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7C"/>
    <w:rsid w:val="000061CF"/>
    <w:rsid w:val="003B62D6"/>
    <w:rsid w:val="00726236"/>
    <w:rsid w:val="00A46E7C"/>
    <w:rsid w:val="00D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D74E-68B0-4FE7-97EC-F1926A76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7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i0.wp.com/edq.kz/wp-content/uploads/2017/07/%D1%81%D0%B0%D0%BD%D0%B0%D1%80-%D1%82%D0%B0%D2%9B%D1%82%D0%B0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2.wp.com/edq.kz/wp-content/uploads/2016/03/amir-2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edq.kz/wp-content/uploads/2017/06/01-0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3</cp:revision>
  <dcterms:created xsi:type="dcterms:W3CDTF">2022-10-03T08:48:00Z</dcterms:created>
  <dcterms:modified xsi:type="dcterms:W3CDTF">2022-10-03T08:55:00Z</dcterms:modified>
</cp:coreProperties>
</file>